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Директору 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«Чистая станица»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Носенко А.Г.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вас заключить договор на оказание услуг по обращению с твердыми коммунальными отходами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2410"/>
        <w:gridCol w:w="601"/>
        <w:gridCol w:w="1100"/>
        <w:gridCol w:w="814"/>
        <w:gridCol w:w="1436"/>
        <w:gridCol w:w="478"/>
        <w:gridCol w:w="1915"/>
      </w:tblGrid>
      <w:tr>
        <w:trPr/>
        <w:tc>
          <w:tcPr>
            <w:tcW w:w="957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 потребителя</w:t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и дата ее внесения в реестр 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Е-mail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Банковские  реквизиты</w:t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Расч. счет</w:t>
            </w:r>
          </w:p>
        </w:tc>
        <w:tc>
          <w:tcPr>
            <w:tcW w:w="634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и местонахождение помещений и иных объектов недвижимого имущества</w:t>
            </w:r>
          </w:p>
        </w:tc>
      </w:tr>
      <w:tr>
        <w:trPr/>
        <w:tc>
          <w:tcPr>
            <w:tcW w:w="32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344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344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 о виде хозяйственной и (или) иной деятельности, осуществляемой потребителем</w:t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категории объекта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Административные здания, учреждения, организации, конторы</w:t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Банки, финансовые учреждения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Административные, офисные учреждения и организации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торговли</w:t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Промтоварный магазин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Палатка, киоск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Торговля с машин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Супермаркет (универмаг)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Торговые комплексы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Рынки продовольственные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Рынки промтоварные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Рынки универсальные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транспортной инфраструктуры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Автостоянки и парковки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Гаражи, парковки закрытого типа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Автомойка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Железнодорожные и автовокзалы, аэропорты, речные порты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пассажир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Дошкольные и учебные заведения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Организации начального и среднего профессионального образования, высшего профессионального и послевузовского образования или иные организации, осуществляющие образовательный процесс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Детские дома, интернаты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Культурно-развлекательные, спортивнее учреждения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Клубы, кинотеатры, концертные залы, театры, цирки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Библиотеки, выставочные залы, музеи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Спортивные арены, стадионы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Спортивные клубы, центры, комплексы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Зоопарк, ботанический сад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Пансионаты, дома отдыха, туристические базы (с круглосуточным пребыванием)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Пляжи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Казино, бильярдные, ночные клубы и прочее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Кафе, рестораны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Кафетерии, закусочные, бары. Предприятия быстрого обслуживания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службы быта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Ремонт и пошив одежды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Химчистки и прачечные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Парикмахерские, косметические салоны, салоны красоты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Гостиницы, общежития гостиничного типа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Бани, сауны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предприятия (мастерские, сервис, центры)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кв. метр общей площади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Предприятия в сфере похоронных услуг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Садоводческие кооперативы, садово-огородные товарищества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4111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Садоводческие кооперативы, садово-огородные товарищества</w:t>
            </w:r>
          </w:p>
        </w:tc>
        <w:tc>
          <w:tcPr>
            <w:tcW w:w="225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 о контейнерах для сбора ТКО на объекте</w:t>
            </w:r>
          </w:p>
        </w:tc>
      </w:tr>
      <w:tr>
        <w:trPr>
          <w:trHeight w:val="131" w:hRule="atLeast"/>
        </w:trPr>
        <w:tc>
          <w:tcPr>
            <w:tcW w:w="32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контейнеров для сбора ТКО</w:t>
            </w:r>
          </w:p>
        </w:tc>
        <w:tc>
          <w:tcPr>
            <w:tcW w:w="6344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3227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контейнера для сбора ТКО</w:t>
            </w:r>
          </w:p>
        </w:tc>
        <w:tc>
          <w:tcPr>
            <w:tcW w:w="6344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9571" w:type="dxa"/>
            <w:gridSpan w:val="8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Сведения о количестве и составе образующихся твердых коммунальных отходов за год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ФККО</w:t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опасности для ОПС</w:t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Объем,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8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1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</w:t>
        <w:tab/>
        <w:t>________________________</w:t>
        <w:tab/>
        <w:t>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(должность)</w:t>
        <w:tab/>
        <w:tab/>
        <w:tab/>
        <w:tab/>
        <w:t xml:space="preserve"> (подпись)</w:t>
        <w:tab/>
        <w:tab/>
        <w:tab/>
        <w:tab/>
        <w:tab/>
        <w:t>(ФИО руководителя)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МП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Style17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7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Перечень документов для заключения договора:</w:t>
      </w:r>
    </w:p>
    <w:p>
      <w:pPr>
        <w:pStyle w:val="Style17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заявка на заключение договора;</w:t>
      </w:r>
    </w:p>
    <w:p>
      <w:pPr>
        <w:pStyle w:val="Style17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</w:rPr>
        <w:t xml:space="preserve">копия свидетельства о государственной регистрации </w:t>
      </w:r>
      <w:r>
        <w:rPr>
          <w:rFonts w:cs="Times New Roman" w:ascii="Times New Roman" w:hAnsi="Times New Roman"/>
        </w:rPr>
        <w:t>физического лица в качестве индивидуального предпринимателя</w:t>
      </w:r>
      <w:r>
        <w:rPr>
          <w:rFonts w:cs="Times New Roman" w:ascii="Times New Roman" w:hAnsi="Times New Roman"/>
        </w:rPr>
        <w:t>;</w:t>
      </w:r>
    </w:p>
    <w:p>
      <w:pPr>
        <w:pStyle w:val="Style17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 xml:space="preserve">копия свидетельства о постановке на учет </w:t>
      </w:r>
      <w:r>
        <w:rPr>
          <w:rFonts w:cs="Times New Roman" w:ascii="Times New Roman" w:hAnsi="Times New Roman"/>
        </w:rPr>
        <w:t>физического</w:t>
      </w:r>
      <w:r>
        <w:rPr>
          <w:rFonts w:cs="Times New Roman" w:ascii="Times New Roman" w:hAnsi="Times New Roman"/>
        </w:rPr>
        <w:t xml:space="preserve"> лица в налоговом органе;</w:t>
      </w:r>
    </w:p>
    <w:p>
      <w:pPr>
        <w:pStyle w:val="Style17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копия документа, подтверждающего право подписи договора;</w:t>
      </w:r>
    </w:p>
    <w:p>
      <w:pPr>
        <w:pStyle w:val="Style17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копия свидетельства о праве собственности объекта или договора аренды;</w:t>
      </w:r>
    </w:p>
    <w:p>
      <w:pPr>
        <w:pStyle w:val="Style17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банковские реквизиты;</w:t>
      </w:r>
    </w:p>
    <w:p>
      <w:pPr>
        <w:pStyle w:val="Style17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паспорта на отходы;</w:t>
      </w:r>
    </w:p>
    <w:p>
      <w:pPr>
        <w:pStyle w:val="Style17"/>
        <w:numPr>
          <w:ilvl w:val="0"/>
          <w:numId w:val="2"/>
        </w:numPr>
        <w:spacing w:lineRule="auto" w:line="240" w:before="0" w:after="0"/>
        <w:ind w:left="0" w:hanging="0"/>
        <w:rPr/>
      </w:pPr>
      <w:r>
        <w:rPr>
          <w:rFonts w:cs="Times New Roman" w:ascii="Times New Roman" w:hAnsi="Times New Roman"/>
        </w:rPr>
        <w:t>документ об утверждении нормативов образования отходов и лимитов на их размещение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1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qFormat/>
    <w:rsid w:val="00a5424d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ListLabel1">
    <w:name w:val="ListLabel 1"/>
    <w:qFormat/>
    <w:rPr>
      <w:rFonts w:cs="Segoe UI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egoe UI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a5424d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51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4a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E530-B556-4A65-BB8A-3BF21C45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LibreOffice/6.0.7.3$Windows_x86 LibreOffice_project/dc89aa7a9eabfd848af146d5086077aeed2ae4a5</Application>
  <Pages>3</Pages>
  <Words>561</Words>
  <Characters>3947</Characters>
  <CharactersWithSpaces>4318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2020-01-08T16:15:00Z</dcterms:created>
  <dc:creator>Komp</dc:creator>
  <dc:description/>
  <dc:language>ru-RU</dc:language>
  <cp:lastModifiedBy/>
  <cp:lastPrinted>2020-01-08T18:42:00Z</cp:lastPrinted>
  <dcterms:modified xsi:type="dcterms:W3CDTF">2020-01-14T10:10:55Z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